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EC4A" w14:textId="18969CAA" w:rsidR="006D250F" w:rsidRPr="00043EDD" w:rsidRDefault="00AC1DED" w:rsidP="00AC1DED">
      <w:pPr>
        <w:jc w:val="center"/>
        <w:rPr>
          <w:b/>
          <w:bCs/>
          <w:sz w:val="28"/>
          <w:szCs w:val="28"/>
        </w:rPr>
      </w:pPr>
      <w:r w:rsidRPr="00043EDD">
        <w:rPr>
          <w:b/>
          <w:bCs/>
          <w:sz w:val="28"/>
          <w:szCs w:val="28"/>
        </w:rPr>
        <w:t>Budgetnote</w:t>
      </w:r>
    </w:p>
    <w:p w14:paraId="6504D483" w14:textId="6A6A6905" w:rsidR="00AC1DED" w:rsidRDefault="00AC1DED" w:rsidP="00AC1DED">
      <w:pPr>
        <w:jc w:val="center"/>
      </w:pPr>
      <w:r>
        <w:t>Projekt</w:t>
      </w:r>
      <w:r w:rsidR="00043EDD">
        <w:t>:</w:t>
      </w:r>
    </w:p>
    <w:p w14:paraId="2DF4B506" w14:textId="0F4BDE81" w:rsidR="00AC1DED" w:rsidRDefault="00AC1DED" w:rsidP="00AC1DED">
      <w:pPr>
        <w:jc w:val="center"/>
      </w:pPr>
      <w:r>
        <w:t>Dato</w:t>
      </w:r>
      <w:r w:rsidR="00043EDD">
        <w:t>:</w:t>
      </w:r>
    </w:p>
    <w:p w14:paraId="666067B6" w14:textId="1B7790A7" w:rsidR="00AC1DED" w:rsidRDefault="00AC1DED" w:rsidP="00AC1DED">
      <w:pPr>
        <w:jc w:val="center"/>
      </w:pPr>
    </w:p>
    <w:p w14:paraId="54F520D9" w14:textId="29B6E760" w:rsidR="00AC1DED" w:rsidRDefault="00247477" w:rsidP="00247477">
      <w:pPr>
        <w:pStyle w:val="Overskrift2"/>
        <w:numPr>
          <w:ilvl w:val="0"/>
          <w:numId w:val="0"/>
        </w:numPr>
      </w:pPr>
      <w:r>
        <w:t xml:space="preserve">1 </w:t>
      </w:r>
      <w:r w:rsidR="00AC1DED">
        <w:t>Indledning</w:t>
      </w:r>
    </w:p>
    <w:p w14:paraId="5DFD370B" w14:textId="7BA9649E" w:rsidR="00AC1DED" w:rsidRDefault="00AC1DED" w:rsidP="00AC1DED">
      <w:r>
        <w:t>Projektet omfatte</w:t>
      </w:r>
      <w:r w:rsidR="000F3D06">
        <w:t>r</w:t>
      </w:r>
      <w:r>
        <w:t xml:space="preserve"> [byggeprojekt]</w:t>
      </w:r>
    </w:p>
    <w:p w14:paraId="13651A78" w14:textId="65091D53" w:rsidR="00AC1DED" w:rsidRDefault="00247477" w:rsidP="00247477">
      <w:pPr>
        <w:pStyle w:val="Overskrift2"/>
        <w:numPr>
          <w:ilvl w:val="0"/>
          <w:numId w:val="0"/>
        </w:numPr>
      </w:pPr>
      <w:r>
        <w:t xml:space="preserve">2 </w:t>
      </w:r>
      <w:r w:rsidR="00AC1DED">
        <w:t>Omfanget af budgetteringen</w:t>
      </w:r>
    </w:p>
    <w:p w14:paraId="4913C1A8" w14:textId="59EBAAFE" w:rsidR="00AC1DED" w:rsidRDefault="0017399A" w:rsidP="00247477">
      <w:pPr>
        <w:pStyle w:val="Overskrift3"/>
        <w:numPr>
          <w:ilvl w:val="1"/>
          <w:numId w:val="13"/>
        </w:numPr>
      </w:pPr>
      <w:r>
        <w:t>T</w:t>
      </w:r>
      <w:r w:rsidR="00AC1DED">
        <w:t>idsmæssig udstrækning</w:t>
      </w:r>
    </w:p>
    <w:p w14:paraId="1523B6F8" w14:textId="4EC958E9" w:rsidR="00AC1DED" w:rsidRDefault="00AC1DED" w:rsidP="00AC1DED">
      <w:r>
        <w:t>Projektets budget omfatter omkostningerne fra programfladen til udbedring af alle mangler eller indtil 1 års gennemgangen</w:t>
      </w:r>
      <w:r w:rsidR="001B4E43">
        <w:t>,</w:t>
      </w:r>
      <w:r>
        <w:t xml:space="preserve"> hvorefter driften overtager byggeriet med </w:t>
      </w:r>
      <w:r w:rsidR="0017399A">
        <w:t>midler</w:t>
      </w:r>
      <w:r>
        <w:t xml:space="preserve"> til afslutning af udestående emner. I budgettet afsættes 1,2% af totalbudgettet til omkostninger efter overdragelse, men posten skal efterfølgende aftales mellem de interne parter</w:t>
      </w:r>
      <w:r w:rsidR="001B4E43">
        <w:t>.</w:t>
      </w:r>
    </w:p>
    <w:p w14:paraId="73807390" w14:textId="2C85EEA5" w:rsidR="00AC1DED" w:rsidRDefault="00857575" w:rsidP="00247477">
      <w:pPr>
        <w:pStyle w:val="Overskrift3"/>
        <w:numPr>
          <w:ilvl w:val="1"/>
          <w:numId w:val="13"/>
        </w:numPr>
      </w:pPr>
      <w:r>
        <w:t>Elementer indehold</w:t>
      </w:r>
      <w:r w:rsidR="000F3D06">
        <w:t>t</w:t>
      </w:r>
      <w:r>
        <w:t xml:space="preserve"> i budgettet</w:t>
      </w:r>
    </w:p>
    <w:p w14:paraId="13D0806D" w14:textId="639639BA" w:rsidR="00857575" w:rsidRDefault="00857575" w:rsidP="00857575">
      <w:r>
        <w:t>Budgettet omfatter omkostningerne til:</w:t>
      </w:r>
    </w:p>
    <w:p w14:paraId="7DA1AB73" w14:textId="3B3EA6F7" w:rsidR="00857575" w:rsidRDefault="00857575" w:rsidP="0017399A">
      <w:pPr>
        <w:pStyle w:val="Listeafsnit"/>
        <w:numPr>
          <w:ilvl w:val="0"/>
          <w:numId w:val="8"/>
        </w:numPr>
      </w:pPr>
      <w:r>
        <w:t>Alle entreprenøromkostninger tilknyttet projektet fra programfase og frem, også forundersøgelser og andre specialiserede ydelser</w:t>
      </w:r>
    </w:p>
    <w:p w14:paraId="789D6BC1" w14:textId="099FD9E8" w:rsidR="00857575" w:rsidRDefault="00857575" w:rsidP="0017399A">
      <w:pPr>
        <w:pStyle w:val="Listeafsnit"/>
        <w:numPr>
          <w:ilvl w:val="0"/>
          <w:numId w:val="8"/>
        </w:numPr>
      </w:pPr>
      <w:r>
        <w:t>Grundkøb</w:t>
      </w:r>
    </w:p>
    <w:p w14:paraId="547749E9" w14:textId="036AF5D3" w:rsidR="00857575" w:rsidRDefault="00857575" w:rsidP="0017399A">
      <w:pPr>
        <w:pStyle w:val="Listeafsnit"/>
        <w:numPr>
          <w:ilvl w:val="0"/>
          <w:numId w:val="8"/>
        </w:numPr>
      </w:pPr>
      <w:r>
        <w:t>Byggepladsomkostninger inklusivt forbrug</w:t>
      </w:r>
    </w:p>
    <w:p w14:paraId="6288C5E0" w14:textId="12D10AF1" w:rsidR="00857575" w:rsidRDefault="00857575" w:rsidP="0017399A">
      <w:pPr>
        <w:pStyle w:val="Listeafsnit"/>
        <w:numPr>
          <w:ilvl w:val="0"/>
          <w:numId w:val="8"/>
        </w:numPr>
      </w:pPr>
      <w:r>
        <w:t xml:space="preserve">Teknisk rådgivning </w:t>
      </w:r>
    </w:p>
    <w:p w14:paraId="01BA4082" w14:textId="39654FAF" w:rsidR="00857575" w:rsidRDefault="00857575" w:rsidP="0017399A">
      <w:pPr>
        <w:pStyle w:val="Listeafsnit"/>
        <w:numPr>
          <w:ilvl w:val="0"/>
          <w:numId w:val="8"/>
        </w:numPr>
      </w:pPr>
      <w:r>
        <w:t>Bygherrerådgivning</w:t>
      </w:r>
    </w:p>
    <w:p w14:paraId="7EAEB09B" w14:textId="607921F0" w:rsidR="00857575" w:rsidRDefault="00857575" w:rsidP="0017399A">
      <w:pPr>
        <w:pStyle w:val="Listeafsnit"/>
        <w:numPr>
          <w:ilvl w:val="0"/>
          <w:numId w:val="8"/>
        </w:numPr>
      </w:pPr>
      <w:r>
        <w:t>Bygherrens byggeledelse og tilsyn</w:t>
      </w:r>
    </w:p>
    <w:p w14:paraId="1BF1875D" w14:textId="10CDAC69" w:rsidR="00857575" w:rsidRDefault="00857575" w:rsidP="0017399A">
      <w:pPr>
        <w:pStyle w:val="Listeafsnit"/>
        <w:numPr>
          <w:ilvl w:val="0"/>
          <w:numId w:val="8"/>
        </w:numPr>
      </w:pPr>
      <w:r>
        <w:t>Specialrådgivning, dog ikke kommunikation og jura der er dækket af Administrationsbidraget</w:t>
      </w:r>
    </w:p>
    <w:p w14:paraId="1852AF91" w14:textId="48DA2B19" w:rsidR="00857575" w:rsidRDefault="00857575" w:rsidP="0017399A">
      <w:pPr>
        <w:pStyle w:val="Listeafsnit"/>
        <w:numPr>
          <w:ilvl w:val="0"/>
          <w:numId w:val="8"/>
        </w:numPr>
      </w:pPr>
      <w:r>
        <w:t>Interne timer til interne afregningsrate, beregnet som lønsummen * 1,67 (bemærk at transparensen betyder at alle interne omkostningsopgørelser er fortrolige.</w:t>
      </w:r>
    </w:p>
    <w:p w14:paraId="41A6E0D6" w14:textId="74009E38" w:rsidR="00857575" w:rsidRDefault="00857575" w:rsidP="0017399A">
      <w:pPr>
        <w:pStyle w:val="Listeafsnit"/>
        <w:numPr>
          <w:ilvl w:val="0"/>
          <w:numId w:val="8"/>
        </w:numPr>
      </w:pPr>
      <w:r>
        <w:t>Bygherreleverancer jf. bilag</w:t>
      </w:r>
    </w:p>
    <w:p w14:paraId="6C458E99" w14:textId="6515DD20" w:rsidR="00857575" w:rsidRDefault="00857575" w:rsidP="0017399A">
      <w:pPr>
        <w:pStyle w:val="Listeafsnit"/>
        <w:numPr>
          <w:ilvl w:val="0"/>
          <w:numId w:val="8"/>
        </w:numPr>
      </w:pPr>
      <w:r>
        <w:t>Administrationsbidrag</w:t>
      </w:r>
    </w:p>
    <w:p w14:paraId="16241DE2" w14:textId="7E087DE4" w:rsidR="00857575" w:rsidRDefault="00857575" w:rsidP="0017399A">
      <w:pPr>
        <w:pStyle w:val="Listeafsnit"/>
        <w:numPr>
          <w:ilvl w:val="0"/>
          <w:numId w:val="8"/>
        </w:numPr>
      </w:pPr>
      <w:r>
        <w:t>Uforudset, herunder risiko</w:t>
      </w:r>
    </w:p>
    <w:p w14:paraId="26D2A185" w14:textId="2E68B2A4" w:rsidR="0017399A" w:rsidRDefault="0017399A" w:rsidP="0017399A">
      <w:pPr>
        <w:pStyle w:val="Listeafsnit"/>
        <w:numPr>
          <w:ilvl w:val="0"/>
          <w:numId w:val="8"/>
        </w:numPr>
      </w:pPr>
      <w:r>
        <w:t>Forsikringsomkostninger</w:t>
      </w:r>
    </w:p>
    <w:p w14:paraId="0199FEEB" w14:textId="36ADA290" w:rsidR="0017399A" w:rsidRDefault="0017399A" w:rsidP="0017399A">
      <w:pPr>
        <w:pStyle w:val="Listeafsnit"/>
        <w:numPr>
          <w:ilvl w:val="0"/>
          <w:numId w:val="8"/>
        </w:numPr>
      </w:pPr>
      <w:r>
        <w:t>Fejringer/rejsegilde/workshops</w:t>
      </w:r>
    </w:p>
    <w:p w14:paraId="1B25785B" w14:textId="7D4C3EB9" w:rsidR="00857575" w:rsidRDefault="00857575" w:rsidP="0017399A">
      <w:pPr>
        <w:pStyle w:val="Listeafsnit"/>
        <w:numPr>
          <w:ilvl w:val="0"/>
          <w:numId w:val="8"/>
        </w:numPr>
      </w:pPr>
      <w:r>
        <w:t>Indeksering</w:t>
      </w:r>
    </w:p>
    <w:p w14:paraId="710F35D1" w14:textId="77777777" w:rsidR="00857575" w:rsidRDefault="00857575" w:rsidP="00857575"/>
    <w:p w14:paraId="04F5E238" w14:textId="058543EC" w:rsidR="00857575" w:rsidRDefault="00857575" w:rsidP="00857575">
      <w:r>
        <w:t>Specifikt påpeges at følgende ikke indeholdes i budgettet.</w:t>
      </w:r>
    </w:p>
    <w:p w14:paraId="333CE7F4" w14:textId="641B152E" w:rsidR="00857575" w:rsidRDefault="00857575" w:rsidP="0017399A">
      <w:pPr>
        <w:pStyle w:val="Listeafsnit"/>
        <w:numPr>
          <w:ilvl w:val="0"/>
          <w:numId w:val="7"/>
        </w:numPr>
      </w:pPr>
      <w:r>
        <w:t xml:space="preserve">Funktionstilkøb og bygningsopgraderinger. Disse skal alle finansieres af en fremlagt business case inden </w:t>
      </w:r>
      <w:r w:rsidR="0017399A">
        <w:t>implementering</w:t>
      </w:r>
    </w:p>
    <w:p w14:paraId="65D38D3B" w14:textId="3E869A38" w:rsidR="00857575" w:rsidRDefault="0017399A" w:rsidP="0017399A">
      <w:pPr>
        <w:pStyle w:val="Listeafsnit"/>
        <w:numPr>
          <w:ilvl w:val="0"/>
          <w:numId w:val="7"/>
        </w:numPr>
      </w:pPr>
      <w:r>
        <w:t>Finansieringsomkostninger – Dækket af administrationsbidraget</w:t>
      </w:r>
    </w:p>
    <w:p w14:paraId="7DE8C1E2" w14:textId="50675826" w:rsidR="00857575" w:rsidRPr="00857575" w:rsidRDefault="0017399A" w:rsidP="00857575">
      <w:pPr>
        <w:pStyle w:val="Listeafsnit"/>
        <w:numPr>
          <w:ilvl w:val="0"/>
          <w:numId w:val="7"/>
        </w:numPr>
      </w:pPr>
      <w:r>
        <w:lastRenderedPageBreak/>
        <w:t>Flytning og indretning/løst inventar – Dette er dækket i et separat flytteprojekt under ledelse af [projektleder]</w:t>
      </w:r>
    </w:p>
    <w:p w14:paraId="29C075B4" w14:textId="318E1C03" w:rsidR="00AC1DED" w:rsidRDefault="00AC1DED" w:rsidP="00247477">
      <w:pPr>
        <w:pStyle w:val="Overskrift2"/>
        <w:numPr>
          <w:ilvl w:val="0"/>
          <w:numId w:val="13"/>
        </w:numPr>
      </w:pPr>
      <w:r>
        <w:t>Disponeringsrettigheder for projektdeltagerne</w:t>
      </w:r>
    </w:p>
    <w:p w14:paraId="35C98E88" w14:textId="4A7A8D46" w:rsidR="0017399A" w:rsidRDefault="0017399A" w:rsidP="0017399A">
      <w:r>
        <w:t>Styregruppen har de facto ubegrænset råderet over projektets økonomi.</w:t>
      </w:r>
    </w:p>
    <w:p w14:paraId="0730E725" w14:textId="68881212" w:rsidR="0017399A" w:rsidRDefault="0017399A" w:rsidP="0017399A">
      <w:r>
        <w:t xml:space="preserve">Projektlederen kan disponere over beløb op til 500.000 dkk. </w:t>
      </w:r>
    </w:p>
    <w:p w14:paraId="4102F660" w14:textId="1299640D" w:rsidR="0017399A" w:rsidRDefault="0017399A" w:rsidP="0017399A">
      <w:r>
        <w:t>Byggelederen kan disponere over beløb op til 50.000 dkk</w:t>
      </w:r>
    </w:p>
    <w:p w14:paraId="633FE80F" w14:textId="10291565" w:rsidR="0017399A" w:rsidRDefault="0017399A" w:rsidP="0017399A">
      <w:r>
        <w:t>Tilsynet kan disponere over beløb op til 5.000 dkk</w:t>
      </w:r>
    </w:p>
    <w:p w14:paraId="3D73BA69" w14:textId="726ED368" w:rsidR="0017399A" w:rsidRDefault="0017399A" w:rsidP="0017399A">
      <w:r>
        <w:t>Dispositionsretten forudsætter</w:t>
      </w:r>
      <w:r w:rsidR="006A341A">
        <w:t>,</w:t>
      </w:r>
      <w:r>
        <w:t xml:space="preserve"> at beløbene ikke e</w:t>
      </w:r>
      <w:r w:rsidR="006A341A">
        <w:t>r</w:t>
      </w:r>
      <w:r>
        <w:t xml:space="preserve"> delbeløb af en større eller gentagede aftale, eller at beløbene sætter en præcedens</w:t>
      </w:r>
      <w:r w:rsidR="006A341A">
        <w:t>,</w:t>
      </w:r>
      <w:r>
        <w:t xml:space="preserve"> der kan betyde at disponeringsretten overskrides</w:t>
      </w:r>
      <w:bookmarkStart w:id="0" w:name="_Toc42685686"/>
    </w:p>
    <w:p w14:paraId="2757F1F0" w14:textId="7F394F4D" w:rsidR="0017399A" w:rsidRDefault="0017399A" w:rsidP="0017399A">
      <w:r>
        <w:t>Bygherre</w:t>
      </w:r>
      <w:r w:rsidR="00247477">
        <w:t>rådgiveren</w:t>
      </w:r>
      <w:r>
        <w:t xml:space="preserve"> har ingen dispositionsret men kan indstille til projektlederen</w:t>
      </w:r>
      <w:r w:rsidR="00247477">
        <w:t>.</w:t>
      </w:r>
    </w:p>
    <w:p w14:paraId="43615F76" w14:textId="272DD54F" w:rsidR="0017399A" w:rsidRDefault="0017399A" w:rsidP="0017399A">
      <w:r>
        <w:t xml:space="preserve">Den tekniske rådgiver har ingen aftaleret med entreprenøren, men kan træffe beslutninger der påvirker totaløkonomien i ”den naturlige udvikling af projektet” i faserne frem til udbud. Dette skal gøres med hensyntagen til kravsspecifikationen og projektets totaløkonomi, samt den afsatte ramme, og de forventede budgetter skal opdateres ved hver faseskift. Uagtet denne ret forventer bygherre at blive informeret om større </w:t>
      </w:r>
      <w:r w:rsidR="00CF4245">
        <w:t xml:space="preserve">enkelt </w:t>
      </w:r>
      <w:r>
        <w:t xml:space="preserve">ændringer </w:t>
      </w:r>
      <w:r w:rsidR="00CF4245">
        <w:t>i økonomien (overstigende 50.000).</w:t>
      </w:r>
    </w:p>
    <w:p w14:paraId="6772C2B7" w14:textId="771B160E" w:rsidR="00AC1DED" w:rsidRDefault="00AC1DED" w:rsidP="00247477">
      <w:pPr>
        <w:pStyle w:val="Overskrift2"/>
        <w:numPr>
          <w:ilvl w:val="0"/>
          <w:numId w:val="13"/>
        </w:numPr>
      </w:pPr>
      <w:r>
        <w:t>R</w:t>
      </w:r>
      <w:r w:rsidRPr="00670481">
        <w:t>isi</w:t>
      </w:r>
      <w:r>
        <w:t>ci</w:t>
      </w:r>
      <w:bookmarkEnd w:id="0"/>
    </w:p>
    <w:p w14:paraId="61353017" w14:textId="77777777" w:rsidR="00AC1DED" w:rsidRDefault="00AC1DED" w:rsidP="00AC1DED">
      <w:r>
        <w:t>Identifikation og håndtering af risici er en central del af projektets ledelse. Ansvar for håndtering, og den operationelle ledelse af risici placeres i Projektledelsen.</w:t>
      </w:r>
    </w:p>
    <w:p w14:paraId="31626F9C" w14:textId="77777777" w:rsidR="00AC1DED" w:rsidRDefault="00AC1DED" w:rsidP="00AC1DED">
      <w:r>
        <w:t>Identificerede risici struktureres i følgende grupper:</w:t>
      </w:r>
    </w:p>
    <w:p w14:paraId="28608259" w14:textId="77777777" w:rsidR="00AC1DED" w:rsidRDefault="00AC1DED" w:rsidP="00AC1DED">
      <w:pPr>
        <w:pStyle w:val="Listeafsnit"/>
        <w:numPr>
          <w:ilvl w:val="0"/>
          <w:numId w:val="2"/>
        </w:numPr>
      </w:pPr>
      <w:r>
        <w:t>Økonomi, tid og kvalitet</w:t>
      </w:r>
    </w:p>
    <w:p w14:paraId="10BF249A" w14:textId="0A43F2FA" w:rsidR="00AC1DED" w:rsidRDefault="00AC1DED" w:rsidP="00AC1DED">
      <w:r>
        <w:t xml:space="preserve">En del af reserven afsættes til risiko, men der er ikke en 1:1 kobling mellem den kapitaliserede risiko og den afsatte reserve. </w:t>
      </w:r>
    </w:p>
    <w:p w14:paraId="1B162666" w14:textId="2DD2566B" w:rsidR="00EB75F2" w:rsidRDefault="00EB75F2" w:rsidP="00247477">
      <w:pPr>
        <w:pStyle w:val="Overskrift2"/>
        <w:numPr>
          <w:ilvl w:val="0"/>
          <w:numId w:val="13"/>
        </w:numPr>
      </w:pPr>
      <w:r>
        <w:t xml:space="preserve">Reservens størrelse </w:t>
      </w:r>
    </w:p>
    <w:p w14:paraId="7E8DB5D5" w14:textId="2988A2B0" w:rsidR="00247477" w:rsidRDefault="00EB75F2" w:rsidP="00247477">
      <w:r>
        <w:t xml:space="preserve">I takt med projekternes fremdrift vil uforudsete udgifter </w:t>
      </w:r>
      <w:r w:rsidR="00247477">
        <w:t xml:space="preserve">og risici materialers sig, og disse vil blive trukket fra reserven. Disse træk på reserven skal beskrives i </w:t>
      </w:r>
      <w:r>
        <w:t xml:space="preserve">en log, der transparent og sporbart beskriver, hvilke beløb er overført fra puljen til de enkelte aktiviteter med begrundelsen for dette. </w:t>
      </w:r>
    </w:p>
    <w:p w14:paraId="3BCBD3BF" w14:textId="66BD05F7" w:rsidR="00EB75F2" w:rsidRDefault="00247477" w:rsidP="00247477">
      <w:r>
        <w:t>Ved hver faseskift skal som en del af økonomirapporteringen overvejes om den resterende reserve er tilstrækkelig til at gennemføre projektet. E</w:t>
      </w:r>
      <w:r w:rsidR="006A341A">
        <w:t>r</w:t>
      </w:r>
      <w:r>
        <w:t xml:space="preserve"> reserven mindre end angivet i de interne retningslinjer skal afgives en budgetforklaring</w:t>
      </w:r>
      <w:r w:rsidR="006A341A">
        <w:t>,</w:t>
      </w:r>
      <w:r>
        <w:t xml:space="preserve"> der sandsynliggør</w:t>
      </w:r>
      <w:r w:rsidR="00253AD8">
        <w:t>,</w:t>
      </w:r>
      <w:r>
        <w:t xml:space="preserve"> at projektet kan gennemføres med den reducerede reserve.</w:t>
      </w:r>
    </w:p>
    <w:p w14:paraId="03581C88" w14:textId="2DC60942" w:rsidR="00AC1DED" w:rsidRDefault="00AC1DED" w:rsidP="00247477">
      <w:pPr>
        <w:pStyle w:val="Overskrift2"/>
        <w:numPr>
          <w:ilvl w:val="0"/>
          <w:numId w:val="13"/>
        </w:numPr>
      </w:pPr>
      <w:bookmarkStart w:id="1" w:name="_Toc42685697"/>
      <w:r>
        <w:t>Økonomi</w:t>
      </w:r>
      <w:bookmarkEnd w:id="1"/>
    </w:p>
    <w:p w14:paraId="70B16803" w14:textId="77777777" w:rsidR="00AC1DED" w:rsidRPr="009A0455" w:rsidRDefault="00AC1DED" w:rsidP="00AC1DED">
      <w:r>
        <w:t>Strukturen for økonomi er opdelt i følgende områder:</w:t>
      </w:r>
    </w:p>
    <w:p w14:paraId="60F029C2" w14:textId="22C9536B" w:rsidR="00AC1DED" w:rsidRPr="00F855A0" w:rsidRDefault="00AC1DED" w:rsidP="00AC1DED">
      <w:pPr>
        <w:ind w:left="2410" w:hanging="2410"/>
        <w:rPr>
          <w:iCs/>
        </w:rPr>
      </w:pPr>
      <w:r w:rsidRPr="00F855A0">
        <w:rPr>
          <w:b/>
          <w:iCs/>
        </w:rPr>
        <w:t>A. Rådgivning</w:t>
      </w:r>
      <w:r w:rsidRPr="00F855A0">
        <w:rPr>
          <w:iCs/>
        </w:rPr>
        <w:tab/>
        <w:t>Interne timer til Projektledelse</w:t>
      </w:r>
    </w:p>
    <w:p w14:paraId="787EDC41" w14:textId="77777777" w:rsidR="00AC1DED" w:rsidRPr="00F855A0" w:rsidRDefault="00AC1DED" w:rsidP="00AC1DED">
      <w:pPr>
        <w:ind w:left="2410" w:hanging="2410"/>
        <w:rPr>
          <w:iCs/>
        </w:rPr>
      </w:pPr>
      <w:r w:rsidRPr="00F855A0">
        <w:rPr>
          <w:b/>
          <w:iCs/>
        </w:rPr>
        <w:tab/>
      </w:r>
      <w:r w:rsidRPr="00F855A0">
        <w:rPr>
          <w:iCs/>
        </w:rPr>
        <w:t xml:space="preserve">Eksterne omkostninger til Bygherrefunktioner </w:t>
      </w:r>
    </w:p>
    <w:p w14:paraId="35D48F38" w14:textId="2091E8D2" w:rsidR="00AC1DED" w:rsidRPr="00F855A0" w:rsidRDefault="00AC1DED" w:rsidP="00247477">
      <w:pPr>
        <w:spacing w:after="0" w:line="240" w:lineRule="auto"/>
        <w:ind w:left="4820" w:hanging="2410"/>
        <w:rPr>
          <w:iCs/>
        </w:rPr>
      </w:pPr>
      <w:r w:rsidRPr="00F855A0">
        <w:rPr>
          <w:iCs/>
        </w:rPr>
        <w:lastRenderedPageBreak/>
        <w:t>Eksterne omkostninger fordelt på:</w:t>
      </w:r>
      <w:r w:rsidRPr="00F855A0">
        <w:rPr>
          <w:iCs/>
        </w:rPr>
        <w:br/>
        <w:t>Projekteringsledelse</w:t>
      </w:r>
      <w:r w:rsidRPr="00F855A0">
        <w:rPr>
          <w:iCs/>
        </w:rPr>
        <w:br/>
        <w:t>Byggeledelse</w:t>
      </w:r>
    </w:p>
    <w:p w14:paraId="36871682" w14:textId="71C21323" w:rsidR="00AC1DED" w:rsidRPr="00F855A0" w:rsidRDefault="00AC1DED" w:rsidP="00247477">
      <w:pPr>
        <w:spacing w:after="0" w:line="240" w:lineRule="auto"/>
        <w:ind w:left="4320" w:firstLine="500"/>
        <w:rPr>
          <w:iCs/>
        </w:rPr>
      </w:pPr>
      <w:r w:rsidRPr="00F855A0">
        <w:rPr>
          <w:iCs/>
        </w:rPr>
        <w:t>Rådgivere</w:t>
      </w:r>
    </w:p>
    <w:p w14:paraId="2CDB6169" w14:textId="6C0ABE83" w:rsidR="00AC1DED" w:rsidRPr="00F855A0" w:rsidRDefault="00AC1DED" w:rsidP="00AC1DED">
      <w:pPr>
        <w:ind w:left="2410"/>
        <w:rPr>
          <w:iCs/>
        </w:rPr>
      </w:pPr>
      <w:r w:rsidRPr="00F855A0">
        <w:rPr>
          <w:iCs/>
        </w:rPr>
        <w:t xml:space="preserve">Idriftsættelse </w:t>
      </w:r>
    </w:p>
    <w:p w14:paraId="3DA660B7" w14:textId="78C1C373" w:rsidR="00AC1DED" w:rsidRPr="00F855A0" w:rsidRDefault="00AC1DED" w:rsidP="00AC1DED">
      <w:pPr>
        <w:ind w:left="2410" w:hanging="2410"/>
        <w:rPr>
          <w:b/>
          <w:iCs/>
        </w:rPr>
      </w:pPr>
      <w:r w:rsidRPr="00F855A0">
        <w:rPr>
          <w:b/>
          <w:iCs/>
        </w:rPr>
        <w:t xml:space="preserve">B. Entrepriser </w:t>
      </w:r>
      <w:r w:rsidRPr="00F855A0">
        <w:rPr>
          <w:b/>
          <w:iCs/>
        </w:rPr>
        <w:tab/>
      </w:r>
      <w:r w:rsidRPr="00F855A0">
        <w:rPr>
          <w:iCs/>
        </w:rPr>
        <w:t xml:space="preserve">Entrepriseydelser, fordelt på </w:t>
      </w:r>
      <w:r w:rsidR="00F855A0" w:rsidRPr="00F855A0">
        <w:rPr>
          <w:iCs/>
        </w:rPr>
        <w:t>hovedkontrakterne</w:t>
      </w:r>
    </w:p>
    <w:p w14:paraId="32D91F21" w14:textId="77777777" w:rsidR="00AC1DED" w:rsidRPr="00F855A0" w:rsidRDefault="00AC1DED" w:rsidP="00AC1DED">
      <w:pPr>
        <w:rPr>
          <w:iCs/>
        </w:rPr>
      </w:pPr>
    </w:p>
    <w:p w14:paraId="4E8BF5E0" w14:textId="77777777" w:rsidR="00AC1DED" w:rsidRPr="00F855A0" w:rsidRDefault="00AC1DED" w:rsidP="00AC1DED">
      <w:pPr>
        <w:ind w:left="2410" w:hanging="2410"/>
        <w:rPr>
          <w:iCs/>
        </w:rPr>
      </w:pPr>
      <w:r w:rsidRPr="00F855A0">
        <w:rPr>
          <w:b/>
          <w:iCs/>
        </w:rPr>
        <w:t>C. Bygherreleverancer</w:t>
      </w:r>
      <w:r w:rsidRPr="00F855A0">
        <w:rPr>
          <w:b/>
          <w:iCs/>
        </w:rPr>
        <w:tab/>
      </w:r>
      <w:r w:rsidRPr="00F855A0">
        <w:rPr>
          <w:iCs/>
        </w:rPr>
        <w:t xml:space="preserve">Bygherre indkøbte komponenter </w:t>
      </w:r>
    </w:p>
    <w:p w14:paraId="6A6477C0" w14:textId="77777777" w:rsidR="00AC1DED" w:rsidRPr="00F855A0" w:rsidRDefault="00AC1DED" w:rsidP="00AC1DED">
      <w:pPr>
        <w:ind w:left="2410" w:hanging="2410"/>
        <w:rPr>
          <w:iCs/>
        </w:rPr>
      </w:pPr>
    </w:p>
    <w:p w14:paraId="2B52F7BD" w14:textId="1EFB0AE2" w:rsidR="00AC1DED" w:rsidRPr="00F855A0" w:rsidRDefault="00AC1DED" w:rsidP="00AC1DED">
      <w:pPr>
        <w:ind w:left="2410" w:hanging="2410"/>
        <w:rPr>
          <w:iCs/>
        </w:rPr>
      </w:pPr>
      <w:r w:rsidRPr="00F855A0">
        <w:rPr>
          <w:b/>
          <w:iCs/>
        </w:rPr>
        <w:t>D. Uforudsete udgifter</w:t>
      </w:r>
      <w:r w:rsidRPr="00F855A0">
        <w:rPr>
          <w:b/>
          <w:iCs/>
        </w:rPr>
        <w:tab/>
      </w:r>
      <w:r w:rsidRPr="00F855A0">
        <w:rPr>
          <w:iCs/>
        </w:rPr>
        <w:t xml:space="preserve">Uforudsete udgifter eller UFO posten bestemmes ud fra en specifik vurdering af de enkelte poster (A til C) i det styrende budget. </w:t>
      </w:r>
      <w:r w:rsidR="00F855A0">
        <w:rPr>
          <w:iCs/>
        </w:rPr>
        <w:t>UFO er en delpulje af reserven.</w:t>
      </w:r>
    </w:p>
    <w:p w14:paraId="095784B5" w14:textId="511BBA86" w:rsidR="00F855A0" w:rsidRPr="00F855A0" w:rsidRDefault="00F855A0" w:rsidP="00F855A0">
      <w:pPr>
        <w:ind w:left="2410" w:hanging="2410"/>
        <w:rPr>
          <w:iCs/>
        </w:rPr>
      </w:pPr>
      <w:r>
        <w:rPr>
          <w:b/>
          <w:iCs/>
        </w:rPr>
        <w:t>E</w:t>
      </w:r>
      <w:r w:rsidRPr="00F855A0">
        <w:rPr>
          <w:b/>
          <w:iCs/>
        </w:rPr>
        <w:t xml:space="preserve">. Risikotillæg </w:t>
      </w:r>
      <w:r w:rsidRPr="00F855A0">
        <w:rPr>
          <w:b/>
          <w:iCs/>
        </w:rPr>
        <w:tab/>
      </w:r>
      <w:r w:rsidRPr="00F855A0">
        <w:rPr>
          <w:iCs/>
        </w:rPr>
        <w:t xml:space="preserve">Risikotillægget </w:t>
      </w:r>
      <w:r>
        <w:rPr>
          <w:iCs/>
        </w:rPr>
        <w:t xml:space="preserve">sammenholdes med </w:t>
      </w:r>
      <w:r w:rsidRPr="00F855A0">
        <w:rPr>
          <w:iCs/>
        </w:rPr>
        <w:t xml:space="preserve">risikologgens </w:t>
      </w:r>
      <w:r>
        <w:rPr>
          <w:iCs/>
        </w:rPr>
        <w:t xml:space="preserve">samlede risikovurdering, og </w:t>
      </w:r>
      <w:proofErr w:type="spellStart"/>
      <w:r>
        <w:rPr>
          <w:iCs/>
        </w:rPr>
        <w:t>PL’s</w:t>
      </w:r>
      <w:proofErr w:type="spellEnd"/>
      <w:r>
        <w:rPr>
          <w:iCs/>
        </w:rPr>
        <w:t xml:space="preserve"> vurdering af hvilken samlet risikosum der kan opnås ved fuldt </w:t>
      </w:r>
      <w:r w:rsidR="00247477">
        <w:rPr>
          <w:iCs/>
        </w:rPr>
        <w:t>implementeret</w:t>
      </w:r>
      <w:r>
        <w:rPr>
          <w:iCs/>
        </w:rPr>
        <w:t xml:space="preserve"> risikostyring. Risikopuljen er en delpulje af reserven.</w:t>
      </w:r>
    </w:p>
    <w:p w14:paraId="1FEB8FE7" w14:textId="0BAD32E8" w:rsidR="00AC1DED" w:rsidRPr="00F855A0" w:rsidRDefault="00F855A0" w:rsidP="00AC1DED">
      <w:pPr>
        <w:ind w:left="2410" w:hanging="2410"/>
        <w:rPr>
          <w:iCs/>
        </w:rPr>
      </w:pPr>
      <w:r>
        <w:rPr>
          <w:b/>
          <w:iCs/>
        </w:rPr>
        <w:t>F</w:t>
      </w:r>
      <w:r w:rsidR="00AC1DED" w:rsidRPr="00F855A0">
        <w:rPr>
          <w:b/>
          <w:iCs/>
        </w:rPr>
        <w:t>. Indeksering</w:t>
      </w:r>
      <w:r w:rsidR="00AC1DED" w:rsidRPr="00F855A0">
        <w:rPr>
          <w:b/>
          <w:iCs/>
        </w:rPr>
        <w:tab/>
      </w:r>
      <w:r>
        <w:rPr>
          <w:iCs/>
        </w:rPr>
        <w:t xml:space="preserve">Budgettet restbeløb indeksers </w:t>
      </w:r>
      <w:r w:rsidR="00247477">
        <w:rPr>
          <w:iCs/>
        </w:rPr>
        <w:t xml:space="preserve">ved årsskiftet </w:t>
      </w:r>
      <w:r>
        <w:rPr>
          <w:iCs/>
        </w:rPr>
        <w:t>i henhold til boligomkostningsindekset. Afvigelse i forhold til faktisk anvendt beløb til indeksering af projektets kontrakter reguleres i reserven.</w:t>
      </w:r>
      <w:r w:rsidR="00AC1DED" w:rsidRPr="00F855A0">
        <w:rPr>
          <w:iCs/>
        </w:rPr>
        <w:t xml:space="preserve"> </w:t>
      </w:r>
    </w:p>
    <w:p w14:paraId="2AFC576D" w14:textId="3B1D2442" w:rsidR="00AC1DED" w:rsidRPr="00F855A0" w:rsidRDefault="00AC1DED" w:rsidP="00AC1DED">
      <w:pPr>
        <w:ind w:left="2410" w:hanging="2410"/>
        <w:rPr>
          <w:iCs/>
        </w:rPr>
      </w:pPr>
      <w:r w:rsidRPr="00F855A0">
        <w:rPr>
          <w:b/>
          <w:iCs/>
        </w:rPr>
        <w:t>G. Administration</w:t>
      </w:r>
      <w:r w:rsidRPr="00F855A0">
        <w:rPr>
          <w:b/>
          <w:iCs/>
        </w:rPr>
        <w:tab/>
      </w:r>
      <w:r w:rsidRPr="00F855A0">
        <w:rPr>
          <w:iCs/>
        </w:rPr>
        <w:t xml:space="preserve">Administrationstillæg svarende til </w:t>
      </w:r>
      <w:r w:rsidR="00F855A0">
        <w:rPr>
          <w:iCs/>
        </w:rPr>
        <w:t xml:space="preserve">1,2 </w:t>
      </w:r>
      <w:r w:rsidRPr="00F855A0">
        <w:rPr>
          <w:iCs/>
        </w:rPr>
        <w:t>% ift. samlet anlægssum givet ved Styrende budget</w:t>
      </w:r>
      <w:r w:rsidR="00F855A0">
        <w:rPr>
          <w:iCs/>
        </w:rPr>
        <w:t xml:space="preserve"> poster (A-F)</w:t>
      </w:r>
      <w:r w:rsidRPr="00F855A0">
        <w:rPr>
          <w:iCs/>
        </w:rPr>
        <w:t xml:space="preserve">. </w:t>
      </w:r>
    </w:p>
    <w:p w14:paraId="3E9CE167" w14:textId="0301E1F4" w:rsidR="00AC1DED" w:rsidRDefault="00AC1DED" w:rsidP="00247477">
      <w:pPr>
        <w:pStyle w:val="Overskrift3"/>
        <w:numPr>
          <w:ilvl w:val="1"/>
          <w:numId w:val="13"/>
        </w:numPr>
      </w:pPr>
      <w:bookmarkStart w:id="2" w:name="_Toc42685698"/>
      <w:r>
        <w:t>Styrende budget</w:t>
      </w:r>
      <w:bookmarkEnd w:id="2"/>
    </w:p>
    <w:p w14:paraId="23800D14" w14:textId="56C44C2D" w:rsidR="00AC1DED" w:rsidRDefault="00AC1DED" w:rsidP="00AC1DED">
      <w:r>
        <w:t xml:space="preserve">Budgettering foregår på en række underposter og betegnes samlet som det </w:t>
      </w:r>
      <w:r w:rsidR="00EB75F2">
        <w:t>styrende budget</w:t>
      </w:r>
      <w:r>
        <w:t xml:space="preserve">. Det </w:t>
      </w:r>
      <w:r w:rsidR="00EB75F2">
        <w:t>styrende</w:t>
      </w:r>
      <w:r w:rsidR="00361437">
        <w:t xml:space="preserve"> budget</w:t>
      </w:r>
      <w:r w:rsidR="00EB75F2">
        <w:t xml:space="preserve"> </w:t>
      </w:r>
      <w:r>
        <w:t>skal godkendes af Styregruppen, ligesom eventuelle ændringer</w:t>
      </w:r>
      <w:r w:rsidR="00F855A0">
        <w:t xml:space="preserve"> ud over </w:t>
      </w:r>
      <w:r w:rsidR="00F436B6">
        <w:t>prokuragrænserne</w:t>
      </w:r>
      <w:r w:rsidR="00F855A0">
        <w:t xml:space="preserve"> </w:t>
      </w:r>
      <w:r>
        <w:t>skal godkendes af Styregruppen.</w:t>
      </w:r>
    </w:p>
    <w:p w14:paraId="623DD4BE" w14:textId="23E272F8" w:rsidR="00AC1DED" w:rsidRDefault="00AC1DED" w:rsidP="00AC1DED">
      <w:r>
        <w:t xml:space="preserve">Det </w:t>
      </w:r>
      <w:r w:rsidR="00EB75F2">
        <w:t>styrende budget</w:t>
      </w:r>
      <w:r w:rsidR="00361437">
        <w:t xml:space="preserve"> </w:t>
      </w:r>
      <w:r>
        <w:t xml:space="preserve">for </w:t>
      </w:r>
      <w:r w:rsidR="00EB75F2">
        <w:t>projektet</w:t>
      </w:r>
      <w:r w:rsidR="00F855A0">
        <w:t xml:space="preserve"> </w:t>
      </w:r>
      <w:r w:rsidR="00EB75F2">
        <w:t>fremlægges</w:t>
      </w:r>
      <w:r w:rsidR="00F855A0">
        <w:t xml:space="preserve"> til godkendelse ved faseskift og inde</w:t>
      </w:r>
      <w:r w:rsidR="00114E75">
        <w:t>n</w:t>
      </w:r>
      <w:r w:rsidR="00F855A0">
        <w:t xml:space="preserve"> underskrift af hovedkontrakten </w:t>
      </w:r>
      <w:r w:rsidR="00EB75F2">
        <w:t xml:space="preserve">uagtet om der har været ændringer. </w:t>
      </w:r>
    </w:p>
    <w:p w14:paraId="79176D57" w14:textId="66ADF00A" w:rsidR="00AC1DED" w:rsidRDefault="00AC1DED" w:rsidP="00AC1DED">
      <w:r>
        <w:t xml:space="preserve">Budgettering af </w:t>
      </w:r>
      <w:r w:rsidR="00EB75F2">
        <w:t xml:space="preserve">projektets ydelser </w:t>
      </w:r>
      <w:r>
        <w:t>finder sted under:</w:t>
      </w:r>
    </w:p>
    <w:p w14:paraId="12CA9E2A" w14:textId="77777777" w:rsidR="00AC1DED" w:rsidRDefault="00AC1DED" w:rsidP="00AC1DED">
      <w:pPr>
        <w:ind w:firstLine="720"/>
        <w:rPr>
          <w:i/>
          <w:u w:val="single"/>
        </w:rPr>
      </w:pPr>
      <w:r>
        <w:t xml:space="preserve"> </w:t>
      </w:r>
      <w:r w:rsidRPr="002D4983">
        <w:rPr>
          <w:i/>
          <w:u w:val="single"/>
        </w:rPr>
        <w:t>A. Rådgivning</w:t>
      </w:r>
    </w:p>
    <w:p w14:paraId="022278F8" w14:textId="77777777" w:rsidR="00AC1DED" w:rsidRDefault="00AC1DED" w:rsidP="00AC1DED">
      <w:pPr>
        <w:ind w:firstLine="720"/>
        <w:rPr>
          <w:i/>
          <w:u w:val="single"/>
        </w:rPr>
      </w:pPr>
      <w:r>
        <w:t xml:space="preserve"> </w:t>
      </w:r>
      <w:r>
        <w:rPr>
          <w:i/>
          <w:u w:val="single"/>
        </w:rPr>
        <w:t>B</w:t>
      </w:r>
      <w:r w:rsidRPr="002D4983">
        <w:rPr>
          <w:i/>
          <w:u w:val="single"/>
        </w:rPr>
        <w:t>. Entrepriser</w:t>
      </w:r>
    </w:p>
    <w:p w14:paraId="7F876F0C" w14:textId="77777777" w:rsidR="00AC1DED" w:rsidRDefault="00AC1DED" w:rsidP="00AC1DED">
      <w:pPr>
        <w:ind w:firstLine="720"/>
      </w:pPr>
      <w:r>
        <w:rPr>
          <w:i/>
          <w:u w:val="single"/>
        </w:rPr>
        <w:t>C. Bygherreleverancer</w:t>
      </w:r>
      <w:r>
        <w:t xml:space="preserve">. </w:t>
      </w:r>
    </w:p>
    <w:p w14:paraId="09BC1EF8" w14:textId="66B7F7A8" w:rsidR="00AC1DED" w:rsidRDefault="00AC1DED" w:rsidP="00AC1DED">
      <w:r>
        <w:t xml:space="preserve">Disse danner grundlag for </w:t>
      </w:r>
      <w:r w:rsidR="00EB75F2">
        <w:t>budgettets resterende poster</w:t>
      </w:r>
      <w:r>
        <w:t xml:space="preserve">. </w:t>
      </w:r>
    </w:p>
    <w:p w14:paraId="4F17D649" w14:textId="7E3F0D7C" w:rsidR="00EB75F2" w:rsidRDefault="00AC1DED" w:rsidP="00EB75F2">
      <w:r w:rsidRPr="00EF3265">
        <w:t>Projekt</w:t>
      </w:r>
      <w:r>
        <w:t>ledelsen er vha. input fra projekteringsledelse, byggeledelse og idriftsættelsesledelse</w:t>
      </w:r>
      <w:r w:rsidR="00EB75F2">
        <w:t xml:space="preserve">, samt tekniske rådgivere </w:t>
      </w:r>
      <w:r w:rsidRPr="00EF3265">
        <w:t xml:space="preserve">ansvarlig for udarbejdelse af </w:t>
      </w:r>
      <w:r>
        <w:t>d</w:t>
      </w:r>
      <w:r w:rsidRPr="00EF3265">
        <w:t xml:space="preserve">et </w:t>
      </w:r>
      <w:r w:rsidR="00EB75F2">
        <w:t>styrende budget</w:t>
      </w:r>
      <w:r w:rsidRPr="00EF3265">
        <w:t xml:space="preserve"> </w:t>
      </w:r>
      <w:r>
        <w:t xml:space="preserve">ud fra den fastlagte struktur. </w:t>
      </w:r>
      <w:bookmarkStart w:id="3" w:name="_Toc42685701"/>
    </w:p>
    <w:p w14:paraId="59CE87CE" w14:textId="7E0927E9" w:rsidR="00EB75F2" w:rsidRDefault="00EB75F2" w:rsidP="00EB75F2">
      <w:r>
        <w:t>Bemærk at det styrende budget ikke er identisk med totalbudgettet jf. 2.2.</w:t>
      </w:r>
    </w:p>
    <w:p w14:paraId="04632374" w14:textId="77777777" w:rsidR="00EB75F2" w:rsidRDefault="00EB75F2" w:rsidP="00EB75F2"/>
    <w:p w14:paraId="7B1D5444" w14:textId="08D4426B" w:rsidR="00AC1DED" w:rsidRDefault="00AC1DED" w:rsidP="00247477">
      <w:pPr>
        <w:pStyle w:val="Overskrift3"/>
        <w:numPr>
          <w:ilvl w:val="1"/>
          <w:numId w:val="13"/>
        </w:numPr>
      </w:pPr>
      <w:r>
        <w:lastRenderedPageBreak/>
        <w:t>Opfølgning på økonomi</w:t>
      </w:r>
      <w:bookmarkEnd w:id="3"/>
    </w:p>
    <w:p w14:paraId="382C0FE7" w14:textId="246AFFC8" w:rsidR="00EB75F2" w:rsidRDefault="00AC1DED" w:rsidP="00AC1DED">
      <w:r>
        <w:t xml:space="preserve">Økonomistyringen foretages én gang månedligt ved, </w:t>
      </w:r>
      <w:r w:rsidR="00EB75F2">
        <w:t>jf. den i månedshjulet definerede proces. Det er vigtigt at alle bidragsydere leverer i henhold til leveranceplanen for at regnskabssiden af budgettet løbende kan opdateres.</w:t>
      </w:r>
    </w:p>
    <w:p w14:paraId="39BAD5F9" w14:textId="77777777" w:rsidR="00EB75F2" w:rsidRDefault="00EB75F2" w:rsidP="00AC1DED">
      <w:r>
        <w:t xml:space="preserve">Identificeres væsentlige afvigelser skal de </w:t>
      </w:r>
      <w:r w:rsidR="00AC1DED">
        <w:t>identificeres og beskrives</w:t>
      </w:r>
      <w:r>
        <w:t xml:space="preserve">, så de kan behandles i næstkommende budgetrevision </w:t>
      </w:r>
    </w:p>
    <w:p w14:paraId="789EBED5" w14:textId="77777777" w:rsidR="00150F36" w:rsidRDefault="00AC1DED" w:rsidP="00EB75F2">
      <w:r>
        <w:t>Arbejdsprocessen er beskrevet i</w:t>
      </w:r>
      <w:r w:rsidR="00150F36">
        <w:t>:</w:t>
      </w:r>
      <w:r>
        <w:t xml:space="preserve"> </w:t>
      </w:r>
    </w:p>
    <w:p w14:paraId="4BE40E09" w14:textId="73332575" w:rsidR="00150F36" w:rsidRDefault="00EB75F2" w:rsidP="00150F36">
      <w:pPr>
        <w:pStyle w:val="Listeafsnit"/>
        <w:numPr>
          <w:ilvl w:val="0"/>
          <w:numId w:val="15"/>
        </w:numPr>
      </w:pPr>
      <w:r>
        <w:t xml:space="preserve">notat om ændringshåndteringer i projekteringsfasen &amp; </w:t>
      </w:r>
    </w:p>
    <w:p w14:paraId="6AAE5F76" w14:textId="5CCD5DD5" w:rsidR="00EB75F2" w:rsidRDefault="00EB75F2" w:rsidP="00150F36">
      <w:pPr>
        <w:pStyle w:val="Listeafsnit"/>
        <w:numPr>
          <w:ilvl w:val="0"/>
          <w:numId w:val="15"/>
        </w:numPr>
      </w:pPr>
      <w:r>
        <w:t>notat om ændringshåndteringer i udførselsfasen.</w:t>
      </w:r>
    </w:p>
    <w:p w14:paraId="42621552" w14:textId="5ABF843C" w:rsidR="00EB75F2" w:rsidRDefault="00EB75F2" w:rsidP="00EB75F2">
      <w:r>
        <w:t xml:space="preserve">Ud fra færdig rapportering afrapporteres </w:t>
      </w:r>
      <w:r w:rsidR="00247477">
        <w:t>månedligt</w:t>
      </w:r>
      <w:r>
        <w:t xml:space="preserve"> til styregruppen via månedsrapporten senest den 20 i efterfølgende måned. </w:t>
      </w:r>
    </w:p>
    <w:p w14:paraId="76560313" w14:textId="287F8FB8" w:rsidR="00247477" w:rsidRDefault="00247477" w:rsidP="00247477">
      <w:pPr>
        <w:pStyle w:val="Overskrift2"/>
        <w:numPr>
          <w:ilvl w:val="0"/>
          <w:numId w:val="13"/>
        </w:numPr>
      </w:pPr>
      <w:r>
        <w:t>Budgettets indeks</w:t>
      </w:r>
    </w:p>
    <w:p w14:paraId="2BF8D034" w14:textId="64AB53FD" w:rsidR="00AC1DED" w:rsidRDefault="00247477" w:rsidP="00AC1DED">
      <w:pPr>
        <w:rPr>
          <w:iCs/>
        </w:rPr>
      </w:pPr>
      <w:r>
        <w:t xml:space="preserve">Budgettet er lavet i </w:t>
      </w:r>
      <w:r>
        <w:rPr>
          <w:iCs/>
        </w:rPr>
        <w:t>boligomkostningsindekset Q2 2018</w:t>
      </w:r>
      <w:r w:rsidR="005E217E">
        <w:rPr>
          <w:iCs/>
        </w:rPr>
        <w:t>. Første regulering af restbudgettet er til Q1 2020. Alle efterfølgende reguleringer er i forhold til boligomkostningsindekset Q2 2018.</w:t>
      </w:r>
    </w:p>
    <w:p w14:paraId="1BC21097" w14:textId="2D131C9C" w:rsidR="005E217E" w:rsidRDefault="005E217E" w:rsidP="005E217E">
      <w:pPr>
        <w:pStyle w:val="Overskrift2"/>
        <w:numPr>
          <w:ilvl w:val="0"/>
          <w:numId w:val="13"/>
        </w:numPr>
      </w:pPr>
      <w:r>
        <w:t>Basis for nuværende budget</w:t>
      </w:r>
    </w:p>
    <w:p w14:paraId="513D63F7" w14:textId="71C52598" w:rsidR="005E217E" w:rsidRDefault="005E217E" w:rsidP="005E217E">
      <w:r>
        <w:t xml:space="preserve">Det nuværende budget er baseret på nøgletal leveret af den teknisk rådgiver understøttet af </w:t>
      </w:r>
      <w:proofErr w:type="spellStart"/>
      <w:r>
        <w:t>Molios</w:t>
      </w:r>
      <w:proofErr w:type="spellEnd"/>
      <w:r>
        <w:t xml:space="preserve"> prisbøger, sammenholdt med en analyse af de krævede kvalitetsniveauer i henhold til den foreløbig</w:t>
      </w:r>
      <w:r w:rsidR="009375E7">
        <w:t>e</w:t>
      </w:r>
      <w:r>
        <w:t xml:space="preserve"> projektbeskrivelse.</w:t>
      </w:r>
    </w:p>
    <w:p w14:paraId="15F59EFD" w14:textId="2594C98E" w:rsidR="005E217E" w:rsidRDefault="005E217E" w:rsidP="005E217E">
      <w:r>
        <w:t>Derudover er afsat sumposter til de budgetposter</w:t>
      </w:r>
      <w:r w:rsidR="005D06F2">
        <w:t>,</w:t>
      </w:r>
      <w:r>
        <w:t xml:space="preserve"> der ikke er indeholdt i nøgletallene med følgende undtagelser</w:t>
      </w:r>
      <w:r w:rsidR="009375E7">
        <w:t>:</w:t>
      </w:r>
    </w:p>
    <w:p w14:paraId="7BCBDABD" w14:textId="7A3A4D6E" w:rsidR="005E217E" w:rsidRDefault="005E217E" w:rsidP="009375E7">
      <w:pPr>
        <w:pStyle w:val="Listeafsnit"/>
        <w:numPr>
          <w:ilvl w:val="0"/>
          <w:numId w:val="17"/>
        </w:numPr>
      </w:pPr>
      <w:r>
        <w:t>Omkostningerne til grundkøb er kendte og indeholdt med deres faktiske aftalte omkostning</w:t>
      </w:r>
    </w:p>
    <w:p w14:paraId="364EBC0A" w14:textId="44E0AC2F" w:rsidR="005E217E" w:rsidRDefault="005E217E" w:rsidP="009375E7">
      <w:pPr>
        <w:pStyle w:val="Listeafsnit"/>
        <w:numPr>
          <w:ilvl w:val="0"/>
          <w:numId w:val="17"/>
        </w:numPr>
      </w:pPr>
      <w:r>
        <w:t>Opgørelse over interne omkostninger er baseret på seneste resurseprognose</w:t>
      </w:r>
    </w:p>
    <w:p w14:paraId="271E8B75" w14:textId="0DE92943" w:rsidR="005E217E" w:rsidRDefault="005E217E" w:rsidP="009375E7">
      <w:pPr>
        <w:pStyle w:val="Listeafsnit"/>
        <w:numPr>
          <w:ilvl w:val="0"/>
          <w:numId w:val="17"/>
        </w:numPr>
      </w:pPr>
      <w:r>
        <w:t>Opgørelse over forureningsomkostningerne er opgjort som estimat i indledende jordhåndteringsplan</w:t>
      </w:r>
    </w:p>
    <w:p w14:paraId="73E72056" w14:textId="77777777" w:rsidR="005E217E" w:rsidRPr="005E217E" w:rsidRDefault="005E217E" w:rsidP="005E217E"/>
    <w:sectPr w:rsidR="005E217E" w:rsidRPr="005E217E">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CCCD" w14:textId="77777777" w:rsidR="0016759B" w:rsidRDefault="0016759B" w:rsidP="005D06F2">
      <w:pPr>
        <w:spacing w:after="0" w:line="240" w:lineRule="auto"/>
      </w:pPr>
      <w:r>
        <w:separator/>
      </w:r>
    </w:p>
  </w:endnote>
  <w:endnote w:type="continuationSeparator" w:id="0">
    <w:p w14:paraId="3F964B33" w14:textId="77777777" w:rsidR="0016759B" w:rsidRDefault="0016759B" w:rsidP="005D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09618667"/>
      <w:docPartObj>
        <w:docPartGallery w:val="Page Numbers (Bottom of Page)"/>
        <w:docPartUnique/>
      </w:docPartObj>
    </w:sdtPr>
    <w:sdtEndPr>
      <w:rPr>
        <w:sz w:val="18"/>
        <w:szCs w:val="18"/>
      </w:rPr>
    </w:sdtEndPr>
    <w:sdtContent>
      <w:p w14:paraId="79E03634" w14:textId="08FF229C" w:rsidR="005D06F2" w:rsidRPr="005D06F2" w:rsidRDefault="005D06F2">
        <w:pPr>
          <w:pStyle w:val="Sidefod"/>
          <w:jc w:val="right"/>
          <w:rPr>
            <w:sz w:val="18"/>
            <w:szCs w:val="18"/>
          </w:rPr>
        </w:pPr>
        <w:r w:rsidRPr="005D06F2">
          <w:rPr>
            <w:sz w:val="18"/>
            <w:szCs w:val="18"/>
          </w:rPr>
          <w:fldChar w:fldCharType="begin"/>
        </w:r>
        <w:r w:rsidRPr="005D06F2">
          <w:rPr>
            <w:sz w:val="18"/>
            <w:szCs w:val="18"/>
          </w:rPr>
          <w:instrText>PAGE   \* MERGEFORMAT</w:instrText>
        </w:r>
        <w:r w:rsidRPr="005D06F2">
          <w:rPr>
            <w:sz w:val="18"/>
            <w:szCs w:val="18"/>
          </w:rPr>
          <w:fldChar w:fldCharType="separate"/>
        </w:r>
        <w:r w:rsidRPr="005D06F2">
          <w:rPr>
            <w:sz w:val="18"/>
            <w:szCs w:val="18"/>
          </w:rPr>
          <w:t>2</w:t>
        </w:r>
        <w:r w:rsidRPr="005D06F2">
          <w:rPr>
            <w:sz w:val="18"/>
            <w:szCs w:val="18"/>
          </w:rPr>
          <w:fldChar w:fldCharType="end"/>
        </w:r>
      </w:p>
    </w:sdtContent>
  </w:sdt>
  <w:p w14:paraId="686BE8C4" w14:textId="77777777" w:rsidR="005D06F2" w:rsidRDefault="005D06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BCE3" w14:textId="77777777" w:rsidR="0016759B" w:rsidRDefault="0016759B" w:rsidP="005D06F2">
      <w:pPr>
        <w:spacing w:after="0" w:line="240" w:lineRule="auto"/>
      </w:pPr>
      <w:r>
        <w:separator/>
      </w:r>
    </w:p>
  </w:footnote>
  <w:footnote w:type="continuationSeparator" w:id="0">
    <w:p w14:paraId="3740B884" w14:textId="77777777" w:rsidR="0016759B" w:rsidRDefault="0016759B" w:rsidP="005D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F9"/>
    <w:multiLevelType w:val="hybridMultilevel"/>
    <w:tmpl w:val="2DFE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04B4C"/>
    <w:multiLevelType w:val="hybridMultilevel"/>
    <w:tmpl w:val="A6E06C2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8D2DA4"/>
    <w:multiLevelType w:val="hybridMultilevel"/>
    <w:tmpl w:val="4FDC3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E86D8C"/>
    <w:multiLevelType w:val="hybridMultilevel"/>
    <w:tmpl w:val="B354150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997CBB"/>
    <w:multiLevelType w:val="hybridMultilevel"/>
    <w:tmpl w:val="C70C8D5C"/>
    <w:lvl w:ilvl="0" w:tplc="8720422C">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410DCB"/>
    <w:multiLevelType w:val="hybridMultilevel"/>
    <w:tmpl w:val="B25A9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0B7C2E"/>
    <w:multiLevelType w:val="multilevel"/>
    <w:tmpl w:val="6A48DC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475AF2"/>
    <w:multiLevelType w:val="multilevel"/>
    <w:tmpl w:val="B8F4FE32"/>
    <w:lvl w:ilvl="0">
      <w:numFmt w:val="decimal"/>
      <w:lvlRestart w:val="0"/>
      <w:pStyle w:val="Overskrift1"/>
      <w:lvlText w:val="%1"/>
      <w:lvlJc w:val="left"/>
      <w:pPr>
        <w:tabs>
          <w:tab w:val="num" w:pos="340"/>
        </w:tabs>
        <w:ind w:left="340" w:hanging="340"/>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suff w:val="space"/>
      <w:lvlText w:val="%1.%2.%3.%4 "/>
      <w:lvlJc w:val="left"/>
      <w:pPr>
        <w:ind w:left="964" w:hanging="964"/>
      </w:pPr>
      <w:rPr>
        <w:rFonts w:hint="default"/>
      </w:rPr>
    </w:lvl>
    <w:lvl w:ilvl="4">
      <w:start w:val="1"/>
      <w:numFmt w:val="decimal"/>
      <w:pStyle w:val="Overskrift5"/>
      <w:lvlText w:val="%5)"/>
      <w:lvlJc w:val="left"/>
      <w:pPr>
        <w:tabs>
          <w:tab w:val="num" w:pos="1296"/>
        </w:tabs>
        <w:ind w:left="1008" w:hanging="432"/>
      </w:pPr>
      <w:rPr>
        <w:rFonts w:hint="default"/>
      </w:rPr>
    </w:lvl>
    <w:lvl w:ilvl="5">
      <w:start w:val="1"/>
      <w:numFmt w:val="lowerLetter"/>
      <w:pStyle w:val="Overskrift6"/>
      <w:lvlText w:val="%6)"/>
      <w:lvlJc w:val="left"/>
      <w:pPr>
        <w:tabs>
          <w:tab w:val="num" w:pos="1440"/>
        </w:tabs>
        <w:ind w:left="1152" w:hanging="432"/>
      </w:pPr>
      <w:rPr>
        <w:rFonts w:hint="default"/>
      </w:rPr>
    </w:lvl>
    <w:lvl w:ilvl="6">
      <w:start w:val="1"/>
      <w:numFmt w:val="lowerRoman"/>
      <w:pStyle w:val="Overskrift7"/>
      <w:lvlText w:val="%7)"/>
      <w:lvlJc w:val="right"/>
      <w:pPr>
        <w:tabs>
          <w:tab w:val="num" w:pos="1296"/>
        </w:tabs>
        <w:ind w:left="1296" w:hanging="288"/>
      </w:pPr>
      <w:rPr>
        <w:rFonts w:hint="default"/>
      </w:rPr>
    </w:lvl>
    <w:lvl w:ilvl="7">
      <w:start w:val="1"/>
      <w:numFmt w:val="lowerLetter"/>
      <w:pStyle w:val="Overskrift8"/>
      <w:lvlText w:val="%8."/>
      <w:lvlJc w:val="left"/>
      <w:pPr>
        <w:tabs>
          <w:tab w:val="num" w:pos="1728"/>
        </w:tabs>
        <w:ind w:left="1440" w:hanging="432"/>
      </w:pPr>
      <w:rPr>
        <w:rFonts w:hint="default"/>
      </w:rPr>
    </w:lvl>
    <w:lvl w:ilvl="8">
      <w:start w:val="1"/>
      <w:numFmt w:val="lowerRoman"/>
      <w:pStyle w:val="Overskrift9"/>
      <w:lvlText w:val="%9."/>
      <w:lvlJc w:val="right"/>
      <w:pPr>
        <w:tabs>
          <w:tab w:val="num" w:pos="1584"/>
        </w:tabs>
        <w:ind w:left="1584" w:hanging="144"/>
      </w:pPr>
      <w:rPr>
        <w:rFonts w:hint="default"/>
      </w:rPr>
    </w:lvl>
  </w:abstractNum>
  <w:abstractNum w:abstractNumId="8" w15:restartNumberingAfterBreak="0">
    <w:nsid w:val="7F5F33CF"/>
    <w:multiLevelType w:val="hybridMultilevel"/>
    <w:tmpl w:val="E83E2B54"/>
    <w:lvl w:ilvl="0" w:tplc="8720422C">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7"/>
  </w:num>
  <w:num w:numId="5">
    <w:abstractNumId w:val="7"/>
  </w:num>
  <w:num w:numId="6">
    <w:abstractNumId w:val="7"/>
  </w:num>
  <w:num w:numId="7">
    <w:abstractNumId w:val="5"/>
  </w:num>
  <w:num w:numId="8">
    <w:abstractNumId w:val="0"/>
  </w:num>
  <w:num w:numId="9">
    <w:abstractNumId w:val="7"/>
  </w:num>
  <w:num w:numId="10">
    <w:abstractNumId w:val="7"/>
  </w:num>
  <w:num w:numId="11">
    <w:abstractNumId w:val="7"/>
  </w:num>
  <w:num w:numId="12">
    <w:abstractNumId w:val="7"/>
  </w:num>
  <w:num w:numId="13">
    <w:abstractNumId w:val="6"/>
  </w:num>
  <w:num w:numId="14">
    <w:abstractNumId w:val="7"/>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ED"/>
    <w:rsid w:val="00043EDD"/>
    <w:rsid w:val="000F3D06"/>
    <w:rsid w:val="00114E75"/>
    <w:rsid w:val="00150F36"/>
    <w:rsid w:val="0016759B"/>
    <w:rsid w:val="0017399A"/>
    <w:rsid w:val="001B4E43"/>
    <w:rsid w:val="00247477"/>
    <w:rsid w:val="00253AD8"/>
    <w:rsid w:val="00361437"/>
    <w:rsid w:val="005D06F2"/>
    <w:rsid w:val="005E217E"/>
    <w:rsid w:val="006A341A"/>
    <w:rsid w:val="006D250F"/>
    <w:rsid w:val="0085619B"/>
    <w:rsid w:val="00857575"/>
    <w:rsid w:val="009375E7"/>
    <w:rsid w:val="00AC1DED"/>
    <w:rsid w:val="00CF4245"/>
    <w:rsid w:val="00EB7027"/>
    <w:rsid w:val="00EB75F2"/>
    <w:rsid w:val="00F436B6"/>
    <w:rsid w:val="00F855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C595"/>
  <w15:chartTrackingRefBased/>
  <w15:docId w15:val="{A5DE7C79-F404-4715-88BD-29AC7445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AC1DED"/>
    <w:pPr>
      <w:pageBreakBefore/>
      <w:numPr>
        <w:numId w:val="1"/>
      </w:numPr>
      <w:spacing w:before="240" w:after="120" w:line="240" w:lineRule="auto"/>
      <w:outlineLvl w:val="0"/>
    </w:pPr>
    <w:rPr>
      <w:rFonts w:ascii="Verdana" w:eastAsia="Times New Roman" w:hAnsi="Verdana" w:cs="Times New Roman"/>
      <w:b/>
      <w:caps/>
      <w:kern w:val="28"/>
      <w:sz w:val="19"/>
      <w:szCs w:val="20"/>
    </w:rPr>
  </w:style>
  <w:style w:type="paragraph" w:styleId="Overskrift2">
    <w:name w:val="heading 2"/>
    <w:basedOn w:val="Normal"/>
    <w:next w:val="Normal"/>
    <w:link w:val="Overskrift2Tegn"/>
    <w:uiPriority w:val="1"/>
    <w:qFormat/>
    <w:rsid w:val="00AC1DED"/>
    <w:pPr>
      <w:keepNext/>
      <w:numPr>
        <w:ilvl w:val="1"/>
        <w:numId w:val="1"/>
      </w:numPr>
      <w:spacing w:before="240" w:after="120" w:line="240" w:lineRule="auto"/>
      <w:outlineLvl w:val="1"/>
    </w:pPr>
    <w:rPr>
      <w:rFonts w:ascii="Verdana" w:eastAsia="Times New Roman" w:hAnsi="Verdana" w:cs="Arial"/>
      <w:b/>
      <w:bCs/>
      <w:iCs/>
      <w:sz w:val="19"/>
      <w:szCs w:val="28"/>
    </w:rPr>
  </w:style>
  <w:style w:type="paragraph" w:styleId="Overskrift3">
    <w:name w:val="heading 3"/>
    <w:basedOn w:val="Normal"/>
    <w:next w:val="Normal"/>
    <w:link w:val="Overskrift3Tegn"/>
    <w:uiPriority w:val="1"/>
    <w:qFormat/>
    <w:rsid w:val="00AC1DED"/>
    <w:pPr>
      <w:keepNext/>
      <w:numPr>
        <w:ilvl w:val="2"/>
        <w:numId w:val="1"/>
      </w:numPr>
      <w:spacing w:before="224" w:after="120" w:line="240" w:lineRule="auto"/>
      <w:outlineLvl w:val="2"/>
    </w:pPr>
    <w:rPr>
      <w:rFonts w:ascii="Verdana" w:eastAsia="Times New Roman" w:hAnsi="Verdana" w:cs="Arial"/>
      <w:b/>
      <w:bCs/>
      <w:sz w:val="19"/>
      <w:szCs w:val="26"/>
    </w:rPr>
  </w:style>
  <w:style w:type="paragraph" w:styleId="Overskrift4">
    <w:name w:val="heading 4"/>
    <w:basedOn w:val="Normal"/>
    <w:next w:val="Normal"/>
    <w:link w:val="Overskrift4Tegn"/>
    <w:semiHidden/>
    <w:qFormat/>
    <w:rsid w:val="00AC1DED"/>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Overskrift5">
    <w:name w:val="heading 5"/>
    <w:basedOn w:val="Normal"/>
    <w:next w:val="Normal"/>
    <w:link w:val="Overskrift5Tegn"/>
    <w:semiHidden/>
    <w:qFormat/>
    <w:rsid w:val="00AC1DED"/>
    <w:pPr>
      <w:numPr>
        <w:ilvl w:val="4"/>
        <w:numId w:val="1"/>
      </w:numPr>
      <w:spacing w:before="240" w:after="60" w:line="240" w:lineRule="auto"/>
      <w:outlineLvl w:val="4"/>
    </w:pPr>
    <w:rPr>
      <w:rFonts w:ascii="Verdana" w:eastAsia="Times New Roman" w:hAnsi="Verdana" w:cs="Times New Roman"/>
      <w:b/>
      <w:bCs/>
      <w:i/>
      <w:iCs/>
      <w:sz w:val="26"/>
      <w:szCs w:val="26"/>
    </w:rPr>
  </w:style>
  <w:style w:type="paragraph" w:styleId="Overskrift6">
    <w:name w:val="heading 6"/>
    <w:basedOn w:val="Normal"/>
    <w:next w:val="Normal"/>
    <w:link w:val="Overskrift6Tegn"/>
    <w:semiHidden/>
    <w:qFormat/>
    <w:rsid w:val="00AC1DED"/>
    <w:pPr>
      <w:numPr>
        <w:ilvl w:val="5"/>
        <w:numId w:val="1"/>
      </w:numPr>
      <w:spacing w:before="240" w:after="60" w:line="240" w:lineRule="auto"/>
      <w:outlineLvl w:val="5"/>
    </w:pPr>
    <w:rPr>
      <w:rFonts w:ascii="Times New Roman" w:eastAsia="Times New Roman" w:hAnsi="Times New Roman" w:cs="Times New Roman"/>
      <w:b/>
      <w:bCs/>
    </w:rPr>
  </w:style>
  <w:style w:type="paragraph" w:styleId="Overskrift7">
    <w:name w:val="heading 7"/>
    <w:basedOn w:val="Normal"/>
    <w:next w:val="Normal"/>
    <w:link w:val="Overskrift7Tegn"/>
    <w:semiHidden/>
    <w:qFormat/>
    <w:rsid w:val="00AC1DE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Overskrift8">
    <w:name w:val="heading 8"/>
    <w:basedOn w:val="Normal"/>
    <w:next w:val="Normal"/>
    <w:link w:val="Overskrift8Tegn"/>
    <w:semiHidden/>
    <w:qFormat/>
    <w:rsid w:val="00AC1DE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Overskrift9">
    <w:name w:val="heading 9"/>
    <w:basedOn w:val="Normal"/>
    <w:next w:val="Normal"/>
    <w:link w:val="Overskrift9Tegn"/>
    <w:semiHidden/>
    <w:qFormat/>
    <w:rsid w:val="00AC1DED"/>
    <w:pPr>
      <w:numPr>
        <w:ilvl w:val="8"/>
        <w:numId w:val="1"/>
      </w:numPr>
      <w:spacing w:before="240" w:after="60" w:line="240" w:lineRule="auto"/>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C1DED"/>
    <w:rPr>
      <w:rFonts w:ascii="Verdana" w:eastAsia="Times New Roman" w:hAnsi="Verdana" w:cs="Times New Roman"/>
      <w:b/>
      <w:caps/>
      <w:kern w:val="28"/>
      <w:sz w:val="19"/>
      <w:szCs w:val="20"/>
    </w:rPr>
  </w:style>
  <w:style w:type="character" w:customStyle="1" w:styleId="Overskrift2Tegn">
    <w:name w:val="Overskrift 2 Tegn"/>
    <w:basedOn w:val="Standardskrifttypeiafsnit"/>
    <w:link w:val="Overskrift2"/>
    <w:uiPriority w:val="1"/>
    <w:rsid w:val="00AC1DED"/>
    <w:rPr>
      <w:rFonts w:ascii="Verdana" w:eastAsia="Times New Roman" w:hAnsi="Verdana" w:cs="Arial"/>
      <w:b/>
      <w:bCs/>
      <w:iCs/>
      <w:sz w:val="19"/>
      <w:szCs w:val="28"/>
    </w:rPr>
  </w:style>
  <w:style w:type="character" w:customStyle="1" w:styleId="Overskrift3Tegn">
    <w:name w:val="Overskrift 3 Tegn"/>
    <w:basedOn w:val="Standardskrifttypeiafsnit"/>
    <w:link w:val="Overskrift3"/>
    <w:uiPriority w:val="1"/>
    <w:rsid w:val="00AC1DED"/>
    <w:rPr>
      <w:rFonts w:ascii="Verdana" w:eastAsia="Times New Roman" w:hAnsi="Verdana" w:cs="Arial"/>
      <w:b/>
      <w:bCs/>
      <w:sz w:val="19"/>
      <w:szCs w:val="26"/>
    </w:rPr>
  </w:style>
  <w:style w:type="character" w:customStyle="1" w:styleId="Overskrift4Tegn">
    <w:name w:val="Overskrift 4 Tegn"/>
    <w:basedOn w:val="Standardskrifttypeiafsnit"/>
    <w:link w:val="Overskrift4"/>
    <w:semiHidden/>
    <w:rsid w:val="00AC1DED"/>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semiHidden/>
    <w:rsid w:val="00AC1DED"/>
    <w:rPr>
      <w:rFonts w:ascii="Verdana" w:eastAsia="Times New Roman" w:hAnsi="Verdana" w:cs="Times New Roman"/>
      <w:b/>
      <w:bCs/>
      <w:i/>
      <w:iCs/>
      <w:sz w:val="26"/>
      <w:szCs w:val="26"/>
    </w:rPr>
  </w:style>
  <w:style w:type="character" w:customStyle="1" w:styleId="Overskrift6Tegn">
    <w:name w:val="Overskrift 6 Tegn"/>
    <w:basedOn w:val="Standardskrifttypeiafsnit"/>
    <w:link w:val="Overskrift6"/>
    <w:semiHidden/>
    <w:rsid w:val="00AC1DED"/>
    <w:rPr>
      <w:rFonts w:ascii="Times New Roman" w:eastAsia="Times New Roman" w:hAnsi="Times New Roman" w:cs="Times New Roman"/>
      <w:b/>
      <w:bCs/>
    </w:rPr>
  </w:style>
  <w:style w:type="character" w:customStyle="1" w:styleId="Overskrift7Tegn">
    <w:name w:val="Overskrift 7 Tegn"/>
    <w:basedOn w:val="Standardskrifttypeiafsnit"/>
    <w:link w:val="Overskrift7"/>
    <w:semiHidden/>
    <w:rsid w:val="00AC1DED"/>
    <w:rPr>
      <w:rFonts w:ascii="Times New Roman" w:eastAsia="Times New Roman" w:hAnsi="Times New Roman" w:cs="Times New Roman"/>
      <w:sz w:val="24"/>
      <w:szCs w:val="24"/>
    </w:rPr>
  </w:style>
  <w:style w:type="character" w:customStyle="1" w:styleId="Overskrift8Tegn">
    <w:name w:val="Overskrift 8 Tegn"/>
    <w:basedOn w:val="Standardskrifttypeiafsnit"/>
    <w:link w:val="Overskrift8"/>
    <w:semiHidden/>
    <w:rsid w:val="00AC1DED"/>
    <w:rPr>
      <w:rFonts w:ascii="Times New Roman" w:eastAsia="Times New Roman" w:hAnsi="Times New Roman" w:cs="Times New Roman"/>
      <w:i/>
      <w:iCs/>
      <w:sz w:val="24"/>
      <w:szCs w:val="24"/>
    </w:rPr>
  </w:style>
  <w:style w:type="character" w:customStyle="1" w:styleId="Overskrift9Tegn">
    <w:name w:val="Overskrift 9 Tegn"/>
    <w:basedOn w:val="Standardskrifttypeiafsnit"/>
    <w:link w:val="Overskrift9"/>
    <w:semiHidden/>
    <w:rsid w:val="00AC1DED"/>
    <w:rPr>
      <w:rFonts w:ascii="Arial" w:eastAsia="Times New Roman" w:hAnsi="Arial" w:cs="Arial"/>
    </w:rPr>
  </w:style>
  <w:style w:type="character" w:styleId="Hyperlink">
    <w:name w:val="Hyperlink"/>
    <w:basedOn w:val="Standardskrifttypeiafsnit"/>
    <w:uiPriority w:val="99"/>
    <w:rsid w:val="00AC1DED"/>
    <w:rPr>
      <w:color w:val="0000FF"/>
      <w:u w:val="single"/>
    </w:rPr>
  </w:style>
  <w:style w:type="paragraph" w:styleId="Listeafsnit">
    <w:name w:val="List Paragraph"/>
    <w:basedOn w:val="Normal"/>
    <w:link w:val="ListeafsnitTegn"/>
    <w:uiPriority w:val="34"/>
    <w:qFormat/>
    <w:rsid w:val="00AC1DED"/>
    <w:pPr>
      <w:spacing w:before="120" w:after="120" w:line="240" w:lineRule="auto"/>
      <w:ind w:left="720"/>
    </w:pPr>
    <w:rPr>
      <w:rFonts w:ascii="Verdana" w:eastAsia="Times New Roman" w:hAnsi="Verdana" w:cs="Times New Roman"/>
      <w:sz w:val="19"/>
      <w:szCs w:val="20"/>
    </w:rPr>
  </w:style>
  <w:style w:type="character" w:customStyle="1" w:styleId="ListeafsnitTegn">
    <w:name w:val="Listeafsnit Tegn"/>
    <w:basedOn w:val="Standardskrifttypeiafsnit"/>
    <w:link w:val="Listeafsnit"/>
    <w:uiPriority w:val="34"/>
    <w:rsid w:val="00AC1DED"/>
    <w:rPr>
      <w:rFonts w:ascii="Verdana" w:eastAsia="Times New Roman" w:hAnsi="Verdana" w:cs="Times New Roman"/>
      <w:sz w:val="19"/>
      <w:szCs w:val="20"/>
    </w:rPr>
  </w:style>
  <w:style w:type="paragraph" w:styleId="Sidehoved">
    <w:name w:val="header"/>
    <w:basedOn w:val="Normal"/>
    <w:link w:val="SidehovedTegn"/>
    <w:uiPriority w:val="99"/>
    <w:unhideWhenUsed/>
    <w:rsid w:val="005D06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6F2"/>
  </w:style>
  <w:style w:type="paragraph" w:styleId="Sidefod">
    <w:name w:val="footer"/>
    <w:basedOn w:val="Normal"/>
    <w:link w:val="SidefodTegn"/>
    <w:uiPriority w:val="99"/>
    <w:unhideWhenUsed/>
    <w:rsid w:val="005D06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2D03C9BE5FE2428137EE699674ADE0" ma:contentTypeVersion="16" ma:contentTypeDescription="Opret et nyt dokument." ma:contentTypeScope="" ma:versionID="3475d3fcb3abcd1ae1f6f2b045cd57bd">
  <xsd:schema xmlns:xsd="http://www.w3.org/2001/XMLSchema" xmlns:xs="http://www.w3.org/2001/XMLSchema" xmlns:p="http://schemas.microsoft.com/office/2006/metadata/properties" xmlns:ns2="63fb05d8-c01e-452f-940a-2516b202abd1" xmlns:ns3="212b6073-22c8-4802-9929-c22483f45847" targetNamespace="http://schemas.microsoft.com/office/2006/metadata/properties" ma:root="true" ma:fieldsID="6d47629b41bb19c6426d4f8fe9ba7542" ns2:_="" ns3:_="">
    <xsd:import namespace="63fb05d8-c01e-452f-940a-2516b202abd1"/>
    <xsd:import namespace="212b6073-22c8-4802-9929-c22483f45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05d8-c01e-452f-940a-2516b202abd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537bbc7-584c-434b-92cb-7b9c9ea0c225}" ma:internalName="TaxCatchAll" ma:showField="CatchAllData" ma:web="63fb05d8-c01e-452f-940a-2516b202ab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b6073-22c8-4802-9929-c22483f45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97b9974-a39b-4cad-b9a5-f2d3ae4202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2b6073-22c8-4802-9929-c22483f45847">
      <Terms xmlns="http://schemas.microsoft.com/office/infopath/2007/PartnerControls"/>
    </lcf76f155ced4ddcb4097134ff3c332f>
    <TaxCatchAll xmlns="63fb05d8-c01e-452f-940a-2516b202abd1" xsi:nil="true"/>
  </documentManagement>
</p:properties>
</file>

<file path=customXml/itemProps1.xml><?xml version="1.0" encoding="utf-8"?>
<ds:datastoreItem xmlns:ds="http://schemas.openxmlformats.org/officeDocument/2006/customXml" ds:itemID="{9E337A4C-D43D-4482-B7B8-EE6D80D0DAB8}"/>
</file>

<file path=customXml/itemProps2.xml><?xml version="1.0" encoding="utf-8"?>
<ds:datastoreItem xmlns:ds="http://schemas.openxmlformats.org/officeDocument/2006/customXml" ds:itemID="{B4AF4BC6-D0E7-4737-9CE3-E8DEC0EF5771}">
  <ds:schemaRefs>
    <ds:schemaRef ds:uri="http://schemas.microsoft.com/sharepoint/v3/contenttype/forms"/>
  </ds:schemaRefs>
</ds:datastoreItem>
</file>

<file path=customXml/itemProps3.xml><?xml version="1.0" encoding="utf-8"?>
<ds:datastoreItem xmlns:ds="http://schemas.openxmlformats.org/officeDocument/2006/customXml" ds:itemID="{D1C6B17C-0998-49D8-93F3-30F3C5A89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987</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Blaabjerg</dc:creator>
  <cp:keywords/>
  <dc:description/>
  <cp:lastModifiedBy>Morten Skaarup Jensen</cp:lastModifiedBy>
  <cp:revision>14</cp:revision>
  <dcterms:created xsi:type="dcterms:W3CDTF">2021-04-12T19:20:00Z</dcterms:created>
  <dcterms:modified xsi:type="dcterms:W3CDTF">2022-02-21T11:03:00Z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0x010100A72D03C9BE5FE2428137EE699674ADE0</vt:lpwstr>
  </property>
</Properties>
</file>